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8E2" w:rsidRDefault="006E4646">
      <w:pPr>
        <w:pStyle w:val="Heading1"/>
        <w:spacing w:before="39" w:line="259" w:lineRule="auto"/>
        <w:ind w:left="3448" w:right="3430"/>
      </w:pPr>
      <w:r>
        <w:t>FINAL CASE CLOSING FORM STATE OF ARKANSAS</w:t>
      </w:r>
    </w:p>
    <w:p w:rsidR="00A348E2" w:rsidRDefault="006E4646">
      <w:pPr>
        <w:spacing w:line="291" w:lineRule="exact"/>
        <w:ind w:left="1141" w:right="1119"/>
        <w:jc w:val="center"/>
        <w:rPr>
          <w:b/>
          <w:sz w:val="24"/>
        </w:rPr>
      </w:pPr>
      <w:r>
        <w:rPr>
          <w:b/>
          <w:sz w:val="24"/>
        </w:rPr>
        <w:t>CIRCUIT COURT: JUVENILE DEPENDENCY &amp; DEPENDENCY-NEGLECT</w:t>
      </w:r>
    </w:p>
    <w:p w:rsidR="00A348E2" w:rsidRDefault="00A348E2">
      <w:pPr>
        <w:pStyle w:val="BodyText"/>
        <w:spacing w:before="11"/>
        <w:rPr>
          <w:b/>
          <w:sz w:val="22"/>
        </w:rPr>
      </w:pPr>
    </w:p>
    <w:p w:rsidR="00A348E2" w:rsidRDefault="006E4646" w:rsidP="006E4646">
      <w:pPr>
        <w:pStyle w:val="BodyText"/>
        <w:spacing w:before="64" w:after="14" w:line="259" w:lineRule="auto"/>
        <w:ind w:left="140" w:right="80"/>
      </w:pPr>
      <w:r>
        <w:t xml:space="preserve">This case closure form should be used when a final closing order has been filed for a specific juvenile(s), but the case remains open for other juveniles involved, </w:t>
      </w:r>
      <w:r w:rsidRPr="006E4646">
        <w:rPr>
          <w:b/>
          <w:bCs/>
          <w:u w:val="single"/>
        </w:rPr>
        <w:t>or</w:t>
      </w:r>
      <w:r>
        <w:t xml:space="preserve"> when the entire case has closed for </w:t>
      </w:r>
      <w:r>
        <w:rPr>
          <w:b/>
          <w:u w:val="single"/>
        </w:rPr>
        <w:t>every</w:t>
      </w:r>
      <w:r>
        <w:rPr>
          <w:b/>
        </w:rPr>
        <w:t xml:space="preserve"> </w:t>
      </w:r>
      <w:r>
        <w:t xml:space="preserve">juvenile. The data contained herein shall not be admissible as evidence in any court proceeding or replace or supplement the filing and service of pleadings, orders, or other papers as required by law or Supreme Court rule. </w:t>
      </w:r>
      <w:r w:rsidRPr="006E4646">
        <w:t xml:space="preserve">This form does </w:t>
      </w:r>
      <w:r w:rsidRPr="006E4646">
        <w:rPr>
          <w:b/>
          <w:bCs/>
          <w:u w:val="single"/>
        </w:rPr>
        <w:t>not</w:t>
      </w:r>
      <w:r w:rsidRPr="006E4646">
        <w:t xml:space="preserve"> replace the Disposition Sheet.</w:t>
      </w:r>
    </w:p>
    <w:p w:rsidR="00A348E2" w:rsidRDefault="003D668D">
      <w:pPr>
        <w:pStyle w:val="BodyText"/>
        <w:spacing w:line="30" w:lineRule="exact"/>
        <w:ind w:left="96"/>
        <w:rPr>
          <w:sz w:val="3"/>
        </w:rPr>
      </w:pPr>
      <w:r>
        <w:rPr>
          <w:sz w:val="3"/>
        </w:rPr>
      </w:r>
      <w:r>
        <w:rPr>
          <w:sz w:val="3"/>
        </w:rPr>
        <w:pict>
          <v:group id="_x0000_s1040" style="width:475.2pt;height:.05pt;mso-position-horizontal-relative:char;mso-position-vertical-relative:line" coordorigin=",14" coordsize="10080,1">
            <v:line id="_x0000_s1041" style="position:absolute" from="0,14" to="10080,15" strokeweight="1.44pt"/>
            <w10:anchorlock/>
          </v:group>
        </w:pict>
      </w:r>
    </w:p>
    <w:p w:rsidR="00A348E2" w:rsidRDefault="00A348E2">
      <w:pPr>
        <w:pStyle w:val="BodyText"/>
        <w:spacing w:before="8"/>
        <w:rPr>
          <w:sz w:val="8"/>
        </w:rPr>
      </w:pPr>
    </w:p>
    <w:p w:rsidR="00A348E2" w:rsidRDefault="006E4646">
      <w:pPr>
        <w:pStyle w:val="Heading2"/>
        <w:tabs>
          <w:tab w:val="left" w:pos="3596"/>
          <w:tab w:val="left" w:pos="4000"/>
          <w:tab w:val="left" w:pos="8303"/>
        </w:tabs>
      </w:pPr>
      <w:r>
        <w:t>Case</w:t>
      </w:r>
      <w:r>
        <w:rPr>
          <w:spacing w:val="-2"/>
        </w:rPr>
        <w:t xml:space="preserve"> </w:t>
      </w:r>
      <w:r>
        <w:t>ID:</w:t>
      </w:r>
      <w:r>
        <w:rPr>
          <w:u w:val="single"/>
        </w:rPr>
        <w:t xml:space="preserve"> </w:t>
      </w:r>
      <w:r>
        <w:rPr>
          <w:u w:val="single"/>
        </w:rPr>
        <w:tab/>
      </w:r>
      <w:r>
        <w:tab/>
        <w:t>Case</w:t>
      </w:r>
      <w:r>
        <w:rPr>
          <w:spacing w:val="-9"/>
        </w:rPr>
        <w:t xml:space="preserve"> </w:t>
      </w:r>
      <w:r>
        <w:t>Description:</w:t>
      </w:r>
      <w:r>
        <w:rPr>
          <w:spacing w:val="-1"/>
        </w:rPr>
        <w:t xml:space="preserve"> </w:t>
      </w:r>
      <w:r>
        <w:rPr>
          <w:u w:val="single"/>
        </w:rPr>
        <w:t xml:space="preserve"> </w:t>
      </w:r>
      <w:r>
        <w:rPr>
          <w:u w:val="single"/>
        </w:rPr>
        <w:tab/>
      </w:r>
    </w:p>
    <w:p w:rsidR="00A348E2" w:rsidRDefault="00A348E2">
      <w:pPr>
        <w:pStyle w:val="BodyText"/>
        <w:rPr>
          <w:b/>
          <w:sz w:val="21"/>
        </w:rPr>
      </w:pPr>
    </w:p>
    <w:p w:rsidR="00A348E2" w:rsidRPr="003D668D" w:rsidRDefault="006E4646">
      <w:pPr>
        <w:tabs>
          <w:tab w:val="left" w:pos="2759"/>
        </w:tabs>
        <w:spacing w:before="56"/>
        <w:ind w:left="140"/>
        <w:rPr>
          <w:bCs/>
        </w:rPr>
      </w:pPr>
      <w:r>
        <w:rPr>
          <w:b/>
        </w:rPr>
        <w:t>Closure</w:t>
      </w:r>
      <w:r>
        <w:rPr>
          <w:b/>
          <w:spacing w:val="-3"/>
        </w:rPr>
        <w:t xml:space="preserve"> </w:t>
      </w:r>
      <w:r>
        <w:rPr>
          <w:b/>
        </w:rPr>
        <w:t>date:</w:t>
      </w:r>
      <w:r>
        <w:rPr>
          <w:b/>
          <w:spacing w:val="-1"/>
        </w:rPr>
        <w:t xml:space="preserve"> </w:t>
      </w:r>
      <w:r>
        <w:rPr>
          <w:b/>
          <w:u w:val="single"/>
        </w:rPr>
        <w:t xml:space="preserve"> </w:t>
      </w:r>
      <w:r>
        <w:rPr>
          <w:b/>
          <w:u w:val="single"/>
        </w:rPr>
        <w:tab/>
      </w:r>
      <w:r w:rsidR="003D668D">
        <w:rPr>
          <w:bCs/>
        </w:rPr>
        <w:t>________</w:t>
      </w:r>
      <w:bookmarkStart w:id="0" w:name="_GoBack"/>
      <w:bookmarkEnd w:id="0"/>
    </w:p>
    <w:p w:rsidR="001F03FA" w:rsidRDefault="001F03FA" w:rsidP="00C12E4B">
      <w:pPr>
        <w:tabs>
          <w:tab w:val="left" w:pos="1932"/>
          <w:tab w:val="left" w:pos="2610"/>
        </w:tabs>
        <w:rPr>
          <w:bCs/>
          <w:sz w:val="20"/>
          <w:szCs w:val="20"/>
        </w:rPr>
      </w:pPr>
      <w:r>
        <w:rPr>
          <w:sz w:val="18"/>
          <w:szCs w:val="18"/>
        </w:rPr>
        <w:t xml:space="preserve">    </w:t>
      </w:r>
      <w:r w:rsidRPr="006B6846">
        <w:rPr>
          <w:bCs/>
          <w:sz w:val="20"/>
          <w:szCs w:val="20"/>
        </w:rPr>
        <w:t xml:space="preserve">Is this closing form for all juveniles listed on the case? </w:t>
      </w:r>
    </w:p>
    <w:p w:rsidR="00C12E4B" w:rsidRPr="006B6846" w:rsidRDefault="001F03FA" w:rsidP="00C12E4B">
      <w:pPr>
        <w:tabs>
          <w:tab w:val="left" w:pos="1932"/>
          <w:tab w:val="left" w:pos="2610"/>
        </w:tabs>
        <w:rPr>
          <w:sz w:val="18"/>
          <w:szCs w:val="18"/>
        </w:rPr>
      </w:pPr>
      <w:r>
        <w:rPr>
          <w:bCs/>
          <w:sz w:val="20"/>
          <w:szCs w:val="20"/>
        </w:rPr>
        <w:t xml:space="preserve">                                                 </w:t>
      </w:r>
      <w:r w:rsidRPr="001F03FA">
        <w:rPr>
          <w:sz w:val="36"/>
          <w:szCs w:val="36"/>
        </w:rPr>
        <w:t>□</w:t>
      </w:r>
      <w:r w:rsidRPr="006B6846">
        <w:rPr>
          <w:sz w:val="20"/>
          <w:szCs w:val="20"/>
        </w:rPr>
        <w:t xml:space="preserve"> No </w:t>
      </w:r>
      <w:r>
        <w:rPr>
          <w:sz w:val="20"/>
          <w:szCs w:val="20"/>
        </w:rPr>
        <w:t xml:space="preserve">     </w:t>
      </w:r>
      <w:r w:rsidRPr="001F03FA">
        <w:rPr>
          <w:sz w:val="36"/>
          <w:szCs w:val="36"/>
        </w:rPr>
        <w:t>□</w:t>
      </w:r>
      <w:r w:rsidRPr="006B6846">
        <w:rPr>
          <w:sz w:val="20"/>
          <w:szCs w:val="20"/>
        </w:rPr>
        <w:t xml:space="preserve"> Yes (JUC0) - </w:t>
      </w:r>
      <w:r w:rsidRPr="006B6846">
        <w:rPr>
          <w:i/>
          <w:sz w:val="18"/>
          <w:szCs w:val="18"/>
        </w:rPr>
        <w:t>(Yes indicates that the entire case is closed</w:t>
      </w:r>
      <w:r>
        <w:rPr>
          <w:i/>
          <w:sz w:val="18"/>
          <w:szCs w:val="18"/>
        </w:rPr>
        <w:t xml:space="preserve"> as to all juveniles</w:t>
      </w:r>
      <w:r w:rsidRPr="006B6846">
        <w:rPr>
          <w:i/>
          <w:sz w:val="18"/>
          <w:szCs w:val="18"/>
        </w:rPr>
        <w:t xml:space="preserve">.)  </w:t>
      </w:r>
      <w:r w:rsidRPr="006B6846">
        <w:rPr>
          <w:sz w:val="18"/>
          <w:szCs w:val="18"/>
        </w:rPr>
        <w:t xml:space="preserve"> </w:t>
      </w:r>
    </w:p>
    <w:p w:rsidR="00C12E4B" w:rsidRPr="00C12E4B" w:rsidRDefault="00C12E4B">
      <w:pPr>
        <w:pStyle w:val="BodyText"/>
        <w:spacing w:before="11"/>
        <w:rPr>
          <w:iCs/>
          <w:sz w:val="23"/>
        </w:rPr>
      </w:pPr>
    </w:p>
    <w:p w:rsidR="00A348E2" w:rsidRDefault="006E4646">
      <w:pPr>
        <w:spacing w:line="259" w:lineRule="auto"/>
        <w:ind w:left="140" w:right="296"/>
        <w:rPr>
          <w:i/>
        </w:rPr>
      </w:pPr>
      <w:r>
        <w:rPr>
          <w:i/>
        </w:rPr>
        <w:t>If all juveniles had the same reason for case closure, simply write “all.” Otherwise, put the juvenile’s full name next to the reason the case closed for that juvenile. There should be only one closing reason per juvenile.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0"/>
        <w:gridCol w:w="861"/>
        <w:gridCol w:w="5000"/>
      </w:tblGrid>
      <w:tr w:rsidR="00A348E2">
        <w:trPr>
          <w:trHeight w:val="287"/>
        </w:trPr>
        <w:tc>
          <w:tcPr>
            <w:tcW w:w="3490" w:type="dxa"/>
          </w:tcPr>
          <w:p w:rsidR="00A348E2" w:rsidRDefault="006E4646">
            <w:pPr>
              <w:pStyle w:val="TableParagraph"/>
              <w:ind w:left="1065"/>
              <w:rPr>
                <w:b/>
              </w:rPr>
            </w:pPr>
            <w:r>
              <w:rPr>
                <w:b/>
              </w:rPr>
              <w:t>Closure reason</w:t>
            </w:r>
          </w:p>
        </w:tc>
        <w:tc>
          <w:tcPr>
            <w:tcW w:w="861" w:type="dxa"/>
          </w:tcPr>
          <w:p w:rsidR="00A348E2" w:rsidRDefault="006E4646">
            <w:pPr>
              <w:pStyle w:val="TableParagraph"/>
              <w:ind w:left="88" w:right="77"/>
              <w:jc w:val="center"/>
              <w:rPr>
                <w:b/>
              </w:rPr>
            </w:pPr>
            <w:r>
              <w:rPr>
                <w:b/>
              </w:rPr>
              <w:t>Code</w:t>
            </w:r>
          </w:p>
        </w:tc>
        <w:tc>
          <w:tcPr>
            <w:tcW w:w="5000" w:type="dxa"/>
          </w:tcPr>
          <w:p w:rsidR="00A348E2" w:rsidRDefault="006E4646">
            <w:pPr>
              <w:pStyle w:val="TableParagraph"/>
              <w:ind w:left="1001"/>
              <w:rPr>
                <w:b/>
              </w:rPr>
            </w:pPr>
            <w:r>
              <w:rPr>
                <w:b/>
              </w:rPr>
              <w:t>Children with this closure reason</w:t>
            </w:r>
          </w:p>
        </w:tc>
      </w:tr>
      <w:tr w:rsidR="00A348E2" w:rsidTr="000541F3">
        <w:trPr>
          <w:trHeight w:val="432"/>
        </w:trPr>
        <w:tc>
          <w:tcPr>
            <w:tcW w:w="3490" w:type="dxa"/>
          </w:tcPr>
          <w:p w:rsidR="00A348E2" w:rsidRDefault="006E4646">
            <w:pPr>
              <w:pStyle w:val="TableParagraph"/>
              <w:spacing w:before="1" w:line="267" w:lineRule="exact"/>
            </w:pPr>
            <w:r>
              <w:t>Remained with Custodial Parent</w:t>
            </w:r>
          </w:p>
          <w:p w:rsidR="00A348E2" w:rsidRDefault="006E4646">
            <w:pPr>
              <w:pStyle w:val="TableParagraph"/>
              <w:spacing w:line="248" w:lineRule="exact"/>
              <w:ind w:left="556"/>
            </w:pPr>
            <w:r>
              <w:t>(30 Day Petition)</w:t>
            </w:r>
          </w:p>
        </w:tc>
        <w:tc>
          <w:tcPr>
            <w:tcW w:w="861" w:type="dxa"/>
          </w:tcPr>
          <w:p w:rsidR="00A348E2" w:rsidRDefault="006E4646">
            <w:pPr>
              <w:pStyle w:val="TableParagraph"/>
              <w:spacing w:before="1" w:line="240" w:lineRule="auto"/>
              <w:ind w:left="88" w:right="77"/>
              <w:jc w:val="center"/>
            </w:pPr>
            <w:r>
              <w:t>YCRMP</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spacing w:before="1" w:line="267" w:lineRule="exact"/>
            </w:pPr>
            <w:r>
              <w:t>Reunification with Parent/Guardian</w:t>
            </w:r>
          </w:p>
          <w:p w:rsidR="00A348E2" w:rsidRDefault="006E4646">
            <w:pPr>
              <w:pStyle w:val="TableParagraph"/>
              <w:spacing w:line="248" w:lineRule="exact"/>
            </w:pPr>
            <w:r>
              <w:t>from Whom Removed</w:t>
            </w:r>
          </w:p>
        </w:tc>
        <w:tc>
          <w:tcPr>
            <w:tcW w:w="861" w:type="dxa"/>
          </w:tcPr>
          <w:p w:rsidR="00A348E2" w:rsidRDefault="006E4646">
            <w:pPr>
              <w:pStyle w:val="TableParagraph"/>
              <w:spacing w:before="1" w:line="240" w:lineRule="auto"/>
              <w:ind w:left="45" w:right="77"/>
              <w:jc w:val="center"/>
            </w:pPr>
            <w:r>
              <w:t>YCRUP</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Reunification with Noncustodial</w:t>
            </w:r>
          </w:p>
          <w:p w:rsidR="00A348E2" w:rsidRDefault="006E4646">
            <w:pPr>
              <w:pStyle w:val="TableParagraph"/>
              <w:spacing w:line="249" w:lineRule="exact"/>
            </w:pPr>
            <w:r>
              <w:t>Parent</w:t>
            </w:r>
          </w:p>
        </w:tc>
        <w:tc>
          <w:tcPr>
            <w:tcW w:w="861" w:type="dxa"/>
          </w:tcPr>
          <w:p w:rsidR="00A348E2" w:rsidRDefault="006E4646">
            <w:pPr>
              <w:pStyle w:val="TableParagraph"/>
              <w:ind w:left="73" w:right="77"/>
              <w:jc w:val="center"/>
            </w:pPr>
            <w:r>
              <w:t>YCRUN</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Adoption - Relative</w:t>
            </w:r>
          </w:p>
        </w:tc>
        <w:tc>
          <w:tcPr>
            <w:tcW w:w="861" w:type="dxa"/>
          </w:tcPr>
          <w:p w:rsidR="00A348E2" w:rsidRDefault="006E4646">
            <w:pPr>
              <w:pStyle w:val="TableParagraph"/>
              <w:ind w:left="53" w:right="77"/>
              <w:jc w:val="center"/>
            </w:pPr>
            <w:r>
              <w:t>YCADR</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Adoption - Non-Relative</w:t>
            </w:r>
          </w:p>
        </w:tc>
        <w:tc>
          <w:tcPr>
            <w:tcW w:w="861" w:type="dxa"/>
          </w:tcPr>
          <w:p w:rsidR="00A348E2" w:rsidRDefault="006E4646">
            <w:pPr>
              <w:pStyle w:val="TableParagraph"/>
              <w:ind w:left="76" w:right="77"/>
              <w:jc w:val="center"/>
            </w:pPr>
            <w:r>
              <w:t>YCADN</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spacing w:before="1" w:line="240" w:lineRule="auto"/>
            </w:pPr>
            <w:r>
              <w:t>Guardianship – Relative</w:t>
            </w:r>
          </w:p>
        </w:tc>
        <w:tc>
          <w:tcPr>
            <w:tcW w:w="861" w:type="dxa"/>
          </w:tcPr>
          <w:p w:rsidR="00A348E2" w:rsidRDefault="006E4646">
            <w:pPr>
              <w:pStyle w:val="TableParagraph"/>
              <w:spacing w:before="1" w:line="240" w:lineRule="auto"/>
              <w:ind w:left="66" w:right="77"/>
              <w:jc w:val="center"/>
            </w:pPr>
            <w:r>
              <w:t>YCGDR</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Guardianship – Non-Relative</w:t>
            </w:r>
          </w:p>
        </w:tc>
        <w:tc>
          <w:tcPr>
            <w:tcW w:w="861" w:type="dxa"/>
          </w:tcPr>
          <w:p w:rsidR="00A348E2" w:rsidRDefault="006E4646">
            <w:pPr>
              <w:pStyle w:val="TableParagraph"/>
              <w:ind w:left="85" w:right="77"/>
              <w:jc w:val="center"/>
            </w:pPr>
            <w:r>
              <w:t>YCGDN</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Permanent Custody – Relative</w:t>
            </w:r>
          </w:p>
        </w:tc>
        <w:tc>
          <w:tcPr>
            <w:tcW w:w="861" w:type="dxa"/>
          </w:tcPr>
          <w:p w:rsidR="00A348E2" w:rsidRDefault="006E4646">
            <w:pPr>
              <w:pStyle w:val="TableParagraph"/>
              <w:ind w:left="22" w:right="77"/>
              <w:jc w:val="center"/>
            </w:pPr>
            <w:r>
              <w:t>YCPCR</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Permanent Custody – Non-relative</w:t>
            </w:r>
          </w:p>
        </w:tc>
        <w:tc>
          <w:tcPr>
            <w:tcW w:w="861" w:type="dxa"/>
          </w:tcPr>
          <w:p w:rsidR="00A348E2" w:rsidRDefault="006E4646">
            <w:pPr>
              <w:pStyle w:val="TableParagraph"/>
              <w:ind w:left="45" w:right="77"/>
              <w:jc w:val="center"/>
            </w:pPr>
            <w:r>
              <w:t>YCPCN</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Juvenile 18-21 Opted Out of Care</w:t>
            </w:r>
          </w:p>
        </w:tc>
        <w:tc>
          <w:tcPr>
            <w:tcW w:w="861" w:type="dxa"/>
          </w:tcPr>
          <w:p w:rsidR="00A348E2" w:rsidRDefault="006E4646">
            <w:pPr>
              <w:pStyle w:val="TableParagraph"/>
              <w:ind w:left="37" w:right="77"/>
              <w:jc w:val="center"/>
            </w:pPr>
            <w:r>
              <w:t>YCOPT</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Youth Reached Age of 21</w:t>
            </w:r>
          </w:p>
        </w:tc>
        <w:tc>
          <w:tcPr>
            <w:tcW w:w="861" w:type="dxa"/>
          </w:tcPr>
          <w:p w:rsidR="00A348E2" w:rsidRDefault="006E4646">
            <w:pPr>
              <w:pStyle w:val="TableParagraph"/>
              <w:ind w:left="0" w:right="77"/>
              <w:jc w:val="center"/>
            </w:pPr>
            <w:r>
              <w:t>YCY21</w:t>
            </w:r>
          </w:p>
        </w:tc>
        <w:tc>
          <w:tcPr>
            <w:tcW w:w="5000" w:type="dxa"/>
          </w:tcPr>
          <w:p w:rsidR="00A348E2" w:rsidRDefault="00A348E2">
            <w:pPr>
              <w:pStyle w:val="TableParagraph"/>
              <w:spacing w:line="240" w:lineRule="auto"/>
              <w:ind w:left="0"/>
              <w:rPr>
                <w:rFonts w:ascii="Times New Roman"/>
                <w:sz w:val="20"/>
              </w:rPr>
            </w:pPr>
          </w:p>
        </w:tc>
      </w:tr>
      <w:tr w:rsidR="000541F3" w:rsidTr="000541F3">
        <w:trPr>
          <w:trHeight w:val="432"/>
        </w:trPr>
        <w:tc>
          <w:tcPr>
            <w:tcW w:w="3490" w:type="dxa"/>
          </w:tcPr>
          <w:p w:rsidR="000541F3" w:rsidRDefault="000541F3" w:rsidP="000541F3">
            <w:pPr>
              <w:pStyle w:val="TableParagraph"/>
            </w:pPr>
            <w:r>
              <w:t>Child Deceased</w:t>
            </w:r>
          </w:p>
        </w:tc>
        <w:tc>
          <w:tcPr>
            <w:tcW w:w="861" w:type="dxa"/>
          </w:tcPr>
          <w:p w:rsidR="000541F3" w:rsidRDefault="000541F3" w:rsidP="000541F3">
            <w:pPr>
              <w:pStyle w:val="TableParagraph"/>
              <w:ind w:left="32" w:right="77"/>
              <w:jc w:val="center"/>
            </w:pPr>
            <w:r>
              <w:t>YCDEC</w:t>
            </w:r>
          </w:p>
        </w:tc>
        <w:tc>
          <w:tcPr>
            <w:tcW w:w="5000" w:type="dxa"/>
          </w:tcPr>
          <w:p w:rsidR="000541F3" w:rsidRDefault="000541F3" w:rsidP="000541F3">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Transfer to Another Jurisdiction or</w:t>
            </w:r>
          </w:p>
          <w:p w:rsidR="00A348E2" w:rsidRDefault="006E4646">
            <w:pPr>
              <w:pStyle w:val="TableParagraph"/>
              <w:spacing w:line="249" w:lineRule="exact"/>
            </w:pPr>
            <w:r>
              <w:t>County</w:t>
            </w:r>
          </w:p>
        </w:tc>
        <w:tc>
          <w:tcPr>
            <w:tcW w:w="861" w:type="dxa"/>
          </w:tcPr>
          <w:p w:rsidR="00A348E2" w:rsidRDefault="006E4646">
            <w:pPr>
              <w:pStyle w:val="TableParagraph"/>
              <w:ind w:left="6" w:right="77"/>
              <w:jc w:val="center"/>
            </w:pPr>
            <w:r>
              <w:t>YCXFR</w:t>
            </w:r>
          </w:p>
        </w:tc>
        <w:tc>
          <w:tcPr>
            <w:tcW w:w="5000" w:type="dxa"/>
          </w:tcPr>
          <w:p w:rsidR="00A348E2" w:rsidRDefault="00A348E2">
            <w:pPr>
              <w:pStyle w:val="TableParagraph"/>
              <w:spacing w:line="240" w:lineRule="auto"/>
              <w:ind w:left="0"/>
              <w:rPr>
                <w:rFonts w:ascii="Times New Roman"/>
                <w:sz w:val="20"/>
              </w:rPr>
            </w:pPr>
          </w:p>
        </w:tc>
      </w:tr>
      <w:tr w:rsidR="000541F3" w:rsidTr="000541F3">
        <w:trPr>
          <w:trHeight w:val="432"/>
        </w:trPr>
        <w:tc>
          <w:tcPr>
            <w:tcW w:w="3490" w:type="dxa"/>
          </w:tcPr>
          <w:p w:rsidR="000541F3" w:rsidRDefault="000541F3" w:rsidP="000541F3">
            <w:pPr>
              <w:pStyle w:val="TableParagraph"/>
            </w:pPr>
            <w:r>
              <w:t>Returned Interference with Custody</w:t>
            </w:r>
          </w:p>
          <w:p w:rsidR="000541F3" w:rsidRDefault="000541F3" w:rsidP="000541F3">
            <w:pPr>
              <w:pStyle w:val="TableParagraph"/>
              <w:spacing w:line="249" w:lineRule="exact"/>
            </w:pPr>
            <w:r>
              <w:t>Statute</w:t>
            </w:r>
          </w:p>
        </w:tc>
        <w:tc>
          <w:tcPr>
            <w:tcW w:w="861" w:type="dxa"/>
          </w:tcPr>
          <w:p w:rsidR="000541F3" w:rsidRDefault="000541F3" w:rsidP="000541F3">
            <w:pPr>
              <w:pStyle w:val="TableParagraph"/>
              <w:ind w:left="6" w:right="77"/>
              <w:jc w:val="center"/>
            </w:pPr>
            <w:r>
              <w:t>YCSTA</w:t>
            </w:r>
          </w:p>
        </w:tc>
        <w:tc>
          <w:tcPr>
            <w:tcW w:w="5000" w:type="dxa"/>
          </w:tcPr>
          <w:p w:rsidR="000541F3" w:rsidRDefault="000541F3" w:rsidP="000541F3">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Case Consolidated</w:t>
            </w:r>
          </w:p>
        </w:tc>
        <w:tc>
          <w:tcPr>
            <w:tcW w:w="861" w:type="dxa"/>
          </w:tcPr>
          <w:p w:rsidR="00A348E2" w:rsidRDefault="006E4646">
            <w:pPr>
              <w:pStyle w:val="TableParagraph"/>
              <w:ind w:left="58" w:right="77"/>
              <w:jc w:val="center"/>
            </w:pPr>
            <w:r>
              <w:t>YCONS</w:t>
            </w:r>
          </w:p>
        </w:tc>
        <w:tc>
          <w:tcPr>
            <w:tcW w:w="5000" w:type="dxa"/>
          </w:tcPr>
          <w:p w:rsidR="00A348E2" w:rsidRDefault="00A348E2">
            <w:pPr>
              <w:pStyle w:val="TableParagraph"/>
              <w:spacing w:line="240" w:lineRule="auto"/>
              <w:ind w:left="0"/>
              <w:rPr>
                <w:rFonts w:ascii="Times New Roman"/>
                <w:sz w:val="20"/>
              </w:rPr>
            </w:pPr>
          </w:p>
        </w:tc>
      </w:tr>
      <w:tr w:rsidR="00A348E2" w:rsidTr="000541F3">
        <w:trPr>
          <w:trHeight w:val="432"/>
        </w:trPr>
        <w:tc>
          <w:tcPr>
            <w:tcW w:w="3490" w:type="dxa"/>
          </w:tcPr>
          <w:p w:rsidR="00A348E2" w:rsidRDefault="006E4646">
            <w:pPr>
              <w:pStyle w:val="TableParagraph"/>
            </w:pPr>
            <w:r>
              <w:t>C</w:t>
            </w:r>
            <w:r w:rsidR="000541F3">
              <w:t>ase Dismissed</w:t>
            </w:r>
          </w:p>
        </w:tc>
        <w:tc>
          <w:tcPr>
            <w:tcW w:w="861" w:type="dxa"/>
          </w:tcPr>
          <w:p w:rsidR="00A348E2" w:rsidRDefault="006E4646">
            <w:pPr>
              <w:pStyle w:val="TableParagraph"/>
              <w:ind w:left="32" w:right="77"/>
              <w:jc w:val="center"/>
            </w:pPr>
            <w:r>
              <w:t>YCD</w:t>
            </w:r>
            <w:r w:rsidR="000541F3">
              <w:t>IS</w:t>
            </w:r>
          </w:p>
        </w:tc>
        <w:tc>
          <w:tcPr>
            <w:tcW w:w="5000" w:type="dxa"/>
          </w:tcPr>
          <w:p w:rsidR="00A348E2" w:rsidRDefault="00A348E2">
            <w:pPr>
              <w:pStyle w:val="TableParagraph"/>
              <w:spacing w:line="240" w:lineRule="auto"/>
              <w:ind w:left="0"/>
              <w:rPr>
                <w:rFonts w:ascii="Times New Roman"/>
                <w:sz w:val="20"/>
              </w:rPr>
            </w:pPr>
          </w:p>
        </w:tc>
      </w:tr>
    </w:tbl>
    <w:p w:rsidR="00A348E2" w:rsidRDefault="00A348E2">
      <w:pPr>
        <w:pStyle w:val="BodyText"/>
        <w:spacing w:before="11"/>
        <w:rPr>
          <w:i/>
          <w:sz w:val="21"/>
        </w:rPr>
      </w:pPr>
    </w:p>
    <w:p w:rsidR="00A348E2" w:rsidRPr="003D668D" w:rsidRDefault="006E4646" w:rsidP="003D668D">
      <w:pPr>
        <w:ind w:left="630" w:right="980"/>
        <w:jc w:val="center"/>
        <w:rPr>
          <w:i/>
          <w:sz w:val="20"/>
          <w:szCs w:val="20"/>
        </w:rPr>
      </w:pPr>
      <w:r w:rsidRPr="003D668D">
        <w:rPr>
          <w:i/>
          <w:sz w:val="20"/>
          <w:szCs w:val="20"/>
        </w:rPr>
        <w:t xml:space="preserve">Note: This form should be filed under </w:t>
      </w:r>
      <w:r w:rsidR="003D668D" w:rsidRPr="003D668D">
        <w:rPr>
          <w:i/>
          <w:sz w:val="20"/>
          <w:szCs w:val="20"/>
        </w:rPr>
        <w:t xml:space="preserve">docket </w:t>
      </w:r>
      <w:r w:rsidRPr="003D668D">
        <w:rPr>
          <w:i/>
          <w:sz w:val="20"/>
          <w:szCs w:val="20"/>
        </w:rPr>
        <w:t xml:space="preserve">code </w:t>
      </w:r>
      <w:r w:rsidRPr="003D668D">
        <w:rPr>
          <w:b/>
          <w:i/>
          <w:sz w:val="20"/>
          <w:szCs w:val="20"/>
        </w:rPr>
        <w:t xml:space="preserve">AOJVC </w:t>
      </w:r>
      <w:r w:rsidRPr="003D668D">
        <w:rPr>
          <w:i/>
          <w:sz w:val="20"/>
          <w:szCs w:val="20"/>
        </w:rPr>
        <w:t>– AOC Case Closure Juvenile DN.</w:t>
      </w:r>
    </w:p>
    <w:p w:rsidR="00A348E2" w:rsidRDefault="00A348E2">
      <w:pPr>
        <w:pStyle w:val="BodyText"/>
        <w:rPr>
          <w:i/>
          <w:sz w:val="20"/>
        </w:rPr>
      </w:pPr>
    </w:p>
    <w:p w:rsidR="00A348E2" w:rsidRDefault="00A348E2">
      <w:pPr>
        <w:pStyle w:val="BodyText"/>
        <w:spacing w:before="5"/>
        <w:rPr>
          <w:i/>
          <w:sz w:val="25"/>
        </w:rPr>
      </w:pPr>
    </w:p>
    <w:p w:rsidR="00A348E2" w:rsidRDefault="00A348E2">
      <w:pPr>
        <w:rPr>
          <w:sz w:val="25"/>
        </w:rPr>
        <w:sectPr w:rsidR="00A348E2">
          <w:type w:val="continuous"/>
          <w:pgSz w:w="12240" w:h="15840"/>
          <w:pgMar w:top="680" w:right="1320" w:bottom="280" w:left="1300" w:header="720" w:footer="720" w:gutter="0"/>
          <w:cols w:space="720"/>
        </w:sectPr>
      </w:pPr>
    </w:p>
    <w:p w:rsidR="00A348E2" w:rsidRDefault="006E4646">
      <w:pPr>
        <w:spacing w:before="101"/>
        <w:ind w:left="140"/>
      </w:pPr>
      <w:r>
        <w:t>AOC Office of Research &amp; Justice Statistics</w:t>
      </w:r>
    </w:p>
    <w:p w:rsidR="00A348E2" w:rsidRDefault="006E4646">
      <w:pPr>
        <w:spacing w:before="101"/>
        <w:ind w:left="140"/>
      </w:pPr>
      <w:r>
        <w:br w:type="column"/>
      </w:r>
      <w:r>
        <w:t>03/</w:t>
      </w:r>
      <w:r w:rsidR="003D668D">
        <w:t>15</w:t>
      </w:r>
      <w:r>
        <w:t>/2020</w:t>
      </w:r>
    </w:p>
    <w:sectPr w:rsidR="00A348E2">
      <w:type w:val="continuous"/>
      <w:pgSz w:w="12240" w:h="15840"/>
      <w:pgMar w:top="680" w:right="1320" w:bottom="280" w:left="1300" w:header="720" w:footer="720" w:gutter="0"/>
      <w:cols w:num="2" w:space="720" w:equalWidth="0">
        <w:col w:w="3946" w:space="4352"/>
        <w:col w:w="13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348E2"/>
    <w:rsid w:val="000541F3"/>
    <w:rsid w:val="001F03FA"/>
    <w:rsid w:val="003D668D"/>
    <w:rsid w:val="006E4646"/>
    <w:rsid w:val="00A348E2"/>
    <w:rsid w:val="00C1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4277476"/>
  <w15:docId w15:val="{88495395-908A-4853-B7D0-ED22C857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41" w:right="1119"/>
      <w:jc w:val="center"/>
      <w:outlineLvl w:val="0"/>
    </w:pPr>
    <w:rPr>
      <w:b/>
      <w:bCs/>
      <w:sz w:val="24"/>
      <w:szCs w:val="24"/>
    </w:rPr>
  </w:style>
  <w:style w:type="paragraph" w:styleId="Heading2">
    <w:name w:val="heading 2"/>
    <w:basedOn w:val="Normal"/>
    <w:uiPriority w:val="9"/>
    <w:unhideWhenUsed/>
    <w:qFormat/>
    <w:pPr>
      <w:spacing w:before="56"/>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Makeisha M. Davis</cp:lastModifiedBy>
  <cp:revision>4</cp:revision>
  <dcterms:created xsi:type="dcterms:W3CDTF">2020-03-10T21:19:00Z</dcterms:created>
  <dcterms:modified xsi:type="dcterms:W3CDTF">2020-03-11T19:04:00Z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LastSaved">
    <vt:filetime>2020-03-10T00:00:00Z</vt:filetime>
  </property>
</Properties>
</file>