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5.</w:t>
      </w:r>
    </w:p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NOTICE OF HEARING ON PETITION</w:t>
      </w:r>
    </w:p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To all persons interested in the estate of _____________, deceased:</w:t>
      </w:r>
    </w:p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You are hereby notified that a petition has been filed in this court (to admit to probate the will of ____________, and) for the appointment of a personal representative for this estate; that this petition will be heard at ___ o'clock __.m. on [date], at ________, or at a later time or other place to which the hearing may be adjourned or transferred.</w:t>
      </w:r>
    </w:p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Date: _______, ____</w:t>
      </w:r>
    </w:p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__________________________, Clerk.</w:t>
      </w:r>
    </w:p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By: ________________, Deputy Clerk.</w:t>
      </w:r>
    </w:p>
    <w:p w:rsidR="000320BA" w:rsidRDefault="000320BA" w:rsidP="000320B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5:</w:t>
      </w:r>
      <w:r>
        <w:rPr>
          <w:rFonts w:ascii="Courier" w:hAnsi="Courier"/>
          <w:color w:val="000000"/>
          <w:sz w:val="27"/>
          <w:szCs w:val="27"/>
        </w:rPr>
        <w:t> </w:t>
      </w:r>
      <w:r>
        <w:rPr>
          <w:rFonts w:ascii="Courier" w:hAnsi="Courier"/>
          <w:i/>
          <w:iCs/>
          <w:color w:val="000000"/>
          <w:sz w:val="27"/>
          <w:szCs w:val="27"/>
        </w:rPr>
        <w:t>See</w:t>
      </w:r>
      <w:r>
        <w:rPr>
          <w:rFonts w:ascii="Courier" w:hAnsi="Courier"/>
          <w:color w:val="000000"/>
          <w:sz w:val="27"/>
          <w:szCs w:val="27"/>
        </w:rPr>
        <w:t> Ark. Code Ann. § 28-40-110. The language in parentheses should be used when the petitioner seeks probate of a will.</w:t>
      </w: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BA"/>
    <w:rsid w:val="000320BA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F0CAA-F153-482E-907E-33893020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2018-11-07T19:33:00Z</dcterms:created>
  <dcterms:modified xsi:type="dcterms:W3CDTF">2018-11-07T19:34:00Z</dcterms:modified>
</cp:coreProperties>
</file>